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BC1266" w:rsidRDefault="00BC1266" w:rsidP="00BC1266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Уголовная ответственность за нарушение требований </w:t>
      </w:r>
      <w:r>
        <w:rPr>
          <w:b/>
          <w:bCs/>
          <w:color w:val="000000" w:themeColor="text1"/>
        </w:rPr>
        <w:br/>
        <w:t>к антитеррористической защищенности объектов (территорий)</w:t>
      </w:r>
    </w:p>
    <w:p w:rsidR="00BC1266" w:rsidRDefault="00BC1266" w:rsidP="00BC1266">
      <w:pPr>
        <w:shd w:val="clear" w:color="auto" w:fill="FFFFFF"/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Статьей 217.3 УК РФ предусмотрена ответственность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 (свыше 1 млн. рублей).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За указанное преступление виновному грозит лишение свободы на срок до трех лет и запрет занимать определенные должности. Если в результате преступления погибнет один человек, то наказание возрастет до 5 лет лишения свободы. В случае гибели двух и более лиц обвиняемому может быть назначено до 7 лет лишения свободы.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КоАП РФ, 2 и более раза в течение 180 дней.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Данный состав преступления не затрагивает нарушения на объектах топливно-энергетического комплекса и транспорта, за которые предусмотрена отдельная ответственность.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Предварительное следствие по указанным преступлениям производится следователями Следственного комитета РФ, следователями органов федеральной службы безопасности и следователями органов внутренних дел РФ.</w:t>
      </w:r>
    </w:p>
    <w:p w:rsidR="00767E26" w:rsidRDefault="00767E26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112245" w:rsidRDefault="00112245" w:rsidP="0097374F">
      <w:pPr>
        <w:rPr>
          <w:sz w:val="20"/>
          <w:szCs w:val="20"/>
        </w:rPr>
      </w:pPr>
    </w:p>
    <w:p w:rsidR="00FE434E" w:rsidRDefault="00FE434E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BC1266">
      <w:pgSz w:w="11906" w:h="16838"/>
      <w:pgMar w:top="567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40E43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2024-12-25T04:43:00Z</dcterms:created>
  <dcterms:modified xsi:type="dcterms:W3CDTF">2024-12-25T04:43:00Z</dcterms:modified>
</cp:coreProperties>
</file>